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1. Сведения о наличии специально оборудованных учебных кабинетах: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В образовательном учреждении имеются оборудованные кабинеты педагога-логопеда и педагога-психолога.</w:t>
        <w:br/>
        <w:t xml:space="preserve">     В МБОУ Мирновской  СШ  для обеспечения учебного процесса инвалидов и лиц с ограниченными возможностями здоровья используются аудитории, оснащенные необх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одимой мебелью и оборудованные мультимедийными комплексами, включающими компьютер, проектор, экран, интерактивные доски.</w:t>
        <w:br/>
        <w:t xml:space="preserve">     Воспитательная работа с детьми-инвалидами и лицами с ограниченными возможностями здоровья, при наличии данных категорий, обеспечив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ает их участие, независимо от степени выраженности нарушений их развития, во всех воспитательных, спортивно-оздоровительных, досуговых и иных внеурочных мероприятиях. При необходимости может оказываться волонтерская помощь и консультации специалистов.</w:t>
        <w:br/>
        <w:t xml:space="preserve">    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 Возможно оказание психолого-педагогического сопровождения и другой консультативной помощи обучающимся с ограниченными возможностями здоровья, имеющими проблемы в обучении, общении и социальной адаптации. (Педагог-психолог: Айнетдинова Гузель Закиевна).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2. Об объектах для проведения практических занятий,приспособленных для использования инвалидами и лицами с ограниченными возможностями здоровья: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- кабинет физики;</w:t>
        <w:br/>
        <w:t xml:space="preserve">- кабинет информатики;</w:t>
        <w:br/>
        <w:t xml:space="preserve">- кабинет биологии и химии;</w:t>
        <w:br/>
        <w:t xml:space="preserve">- кабинет технологии;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73350"/>
          <w:sz w:val="28"/>
          <w:highlight w:val="none"/>
        </w:rPr>
        <w:t xml:space="preserve">-Кабинет русского языка.</w:t>
      </w:r>
      <w:r>
        <w:rPr>
          <w:rFonts w:ascii="Times New Roman" w:hAnsi="Times New Roman" w:cs="Times New Roman" w:eastAsia="Times New Roman"/>
          <w:color w:val="27335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3. О библиотеке(ах):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Библиотека оснащена  компьютером, имеющим  выход в Интернет, мультимедийным оборудованием, принтером.</w:t>
        <w:br/>
        <w:t xml:space="preserve">С 2015 года по 2022 год прослеживается положительная динамика  пополнения библиотеки учебно-методической и дополнительной  литературой.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4. Об объектах спорта, приспособленных для использования инвалидами и лицами с ограниченными возможностями здоровья: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Спортивный зал оборудован необходимым инвентарём для проведения учебной и внеучебной деятельности.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left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5. О средствах обучения и воспитания,приспособленных для использования инвалидами и лицами с ограниченными возможностями здоровья:</w:t>
      </w:r>
      <w:r>
        <w:rPr>
          <w:rFonts w:ascii="Times New Roman" w:hAnsi="Times New Roman" w:cs="Times New Roman" w:eastAsia="Times New Roman"/>
          <w:color w:val="273350"/>
          <w:sz w:val="28"/>
          <w:highlight w:val="yellow"/>
        </w:rPr>
        <w:br/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- 20 учебных кабинетов  с мультимедийным оборудованием</w:t>
        <w:br/>
        <w:t xml:space="preserve">- 2 учебных  кабинета с  интерактивной панелью со встроенным компьютерным блоком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</w:p>
    <w:p>
      <w:pPr>
        <w:pStyle w:val="29"/>
        <w:numPr>
          <w:ilvl w:val="0"/>
          <w:numId w:val="1"/>
        </w:numPr>
        <w:ind w:left="0" w:right="0" w:firstLine="0"/>
        <w:jc w:val="left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2 учебных кабинета с интерактивной доской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В рамках создания Центра образования 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технологической и гуманитарной направленнос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тей «Точка роста» проведён капитальный ремонт  учебного кабинета </w:t>
      </w:r>
      <w:r>
        <w:rPr>
          <w:rFonts w:ascii="Times New Roman" w:hAnsi="Times New Roman" w:cs="Times New Roman" w:eastAsia="Times New Roman"/>
          <w:sz w:val="28"/>
          <w:highlight w:val="white"/>
        </w:rPr>
      </w:r>
    </w:p>
    <w:p>
      <w:pPr>
        <w:ind w:left="0" w:right="0" w:firstLine="0"/>
        <w:jc w:val="both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73350"/>
          <w:sz w:val="28"/>
          <w:highlight w:val="white"/>
          <w:shd w:val="clear" w:color="FFFFFF" w:fill="FFFFFF" w:themeFill="background1" w:themeColor="background1"/>
        </w:rPr>
        <w:t xml:space="preserve">Закуплена мебель, приобретено  современное оборудование. Приобретены робототехнические наборы (наборы для конс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  <w:shd w:val="clear" w:color="FFFFFF" w:fill="FFFFFF" w:themeFill="background1" w:themeColor="background1"/>
        </w:rPr>
        <w:t xml:space="preserve">труирования моделей и узлов (основы механики),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манекен для проведения занятий по ОБЖ</w:t>
      </w:r>
      <w:r>
        <w:rPr>
          <w:rFonts w:ascii="Times New Roman" w:hAnsi="Times New Roman" w:cs="Times New Roman" w:eastAsia="Times New Roman"/>
          <w:color w:val="273350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</w:p>
    <w:p>
      <w:pPr>
        <w:ind w:left="0" w:right="0" w:firstLine="0"/>
        <w:jc w:val="both"/>
        <w:spacing w:after="0" w:afterAutospacing="0" w:before="90"/>
        <w:shd w:val="clear" w:color="FFFFFF"/>
        <w:rPr>
          <w:rFonts w:ascii="Times New Roman" w:hAnsi="Times New Roman" w:cs="Times New Roman" w:eastAsia="Times New Roman"/>
          <w:color w:val="273350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7335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273350"/>
          <w:sz w:val="28"/>
          <w:highlight w:val="none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  <w:highlight w:val="white"/>
        </w:rPr>
        <w:t xml:space="preserve">6. Обеспечение беспрепят</w:t>
      </w: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ственного  доступа в здание образовательной организации инвалидов и лиц с ограниченными возможностями здоровья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п.Мирный, ул. Советская, д. 1:  при входе в здание имеется вывеска с названием школы, графиком работы, адресом.        </w:t>
        <w:br/>
        <w:t xml:space="preserve">    Лестницы оборудованы перилами.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left"/>
        <w:spacing w:after="210" w:before="90"/>
        <w:shd w:val="clear" w:color="FFFFFF" w:fill="FFFFFF" w:themeFill="background1" w:themeColor="background1"/>
        <w:rPr>
          <w:rFonts w:ascii="Times New Roman" w:hAnsi="Times New Roman" w:cs="Times New Roman" w:eastAsia="Times New Roman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7. Специальные условия питания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      Столовая - 1</w:t>
        <w:br/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   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    В школе организовано горячее питание в строгом соответствии с цикличным меню, утвержденным министром просвещения и воспитания Ульяновской области, генеральным директором АНО «Агентство здорового и социального питания»  и согласова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нным  с руководителем Управления Федеральной службы по надзору в сфере защиты прав потребителей и благополучия человека по Ульяновской области.</w:t>
        <w:br/>
        <w:t xml:space="preserve">Прием пищи осуществляется в соответствии с утвержденным графиком: завтрак  для детей с ОВЗ в 09.10  -09.30 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для обучающихся 1 - 11 классов.; обед с 12:10 -12:30 для обучающихся 1-11 классов</w:t>
        <w:br/>
        <w:t xml:space="preserve">       С сентябр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я 2012 года  в школе ведётся работа по оснащению «Центра здорового питания», изготовлены и систематически обновляются информационные стенды, закуплено холодильное оборудование, обновлена мебель в обеденном зале. Помещение рассчитано на  160 посадочных мест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.  Стоимость обеда соответствует цене, рекомендованной министерством просвещения и воспитания Ульяновской области. </w:t>
        <w:br/>
        <w:t xml:space="preserve">В организации горячего питания сотрудники руководствуются  СанПиН  2.3/2.4.3590-20  «Санитарно-эпидемиологические требования к организации о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бщественного питания населения»;  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 Методическими рекомендациями МР2.4.0179-20 «Рекомендации по орган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изации питания обучающихся общеобразовательных организаций»; Методическими рекомендациями МР2.3.6.0233-21 «Методические рекомендации к организации общественного питания населения».</w:t>
        <w:br/>
        <w:t xml:space="preserve"> Документация ведётся в соответствии с требованиями действующего законодате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льства: журналы – бракераж готовой кулинарной продукции, бракераж поступающего сырья, журнал замены готовой кулинарной продукции, гигиенический журнал, проведения витаминизации, журнал контроля за рационом питания, журнал учета температурного режима холоди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льного оборудования, журнал учета температуры и влажности в складских помещениях, журнал учета неисправностей технологического и холодильного оборудования, журнал обработки (дезинфекции) посуды, журнал пищевых отходов. Все журналы прошиты, пронумерованы, с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креплены печатью. Работники школьной столовой регулярно проходят инструктажи по охране труда, пожарной безопасности, плановые медицинские осмотры и вакцинацию. Поставка продуктов осуществляется на основании заключенных договоров с поставщиками.</w:t>
      </w:r>
      <w:r>
        <w:rPr>
          <w:rFonts w:ascii="Times New Roman" w:hAnsi="Times New Roman" w:cs="Times New Roman" w:eastAsia="Times New Roman"/>
          <w:sz w:val="28"/>
          <w:highlight w:val="white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8. Специальные условия охраны здоровья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       Кабинет здоровья - 1 </w:t>
        <w:br/>
        <w:t xml:space="preserve">В образовательной  организации 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 ор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ганизовано медицинское обслуживание обучающихся работниками ФАП. Работники ФАПа ведут 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приём, направляют больных детей в  ГУЗ « Чердаклинская ЦРБ», вызывают скорую помощь для экстренных больных, орг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анизуют санитарно – профилактическую работу среди обучающихся, родителей (законных представителей), педагогических работников. Ежегодно заключается договор на  прохождение медицинского осмотра работников школы.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color w:val="auto"/>
          <w:sz w:val="28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9. Доступ к информационным системам и информационно-телекоммуникационным сетям,   приспособленных для использования инвалидами и лицами с ограниченными возможностями здоровья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Школа  подключена к сети интернет.  Имеется электронная 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почта(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mirnovska@mail.ru</w:t>
      </w:r>
      <w:r>
        <w:rPr>
          <w:rFonts w:ascii="Times New Roman" w:hAnsi="Times New Roman" w:cs="Times New Roman" w:eastAsia="Times New Roman"/>
          <w:color w:val="273350"/>
          <w:sz w:val="28"/>
          <w:highlight w:val="white"/>
        </w:rPr>
        <w:t xml:space="preserve">). Создан  и активно работает школьный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сайт(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https://shkolamirnovskaya-r73.gosweb.gosuslugi.ru/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).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br/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Доступ участников образовательных отношений к информационным образовательным ресурсам в сети «Интернет» ог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раничивается контентной фильтрацией,  ЕСПД, оберегающей от нежелательной информации из сети «Интернет». 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10.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         На основании федерального закона от 29.12.2012 № 273-ФЗ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мации необразовательного характера.</w:t>
        <w:br/>
        <w:t xml:space="preserve">    Перечень электронных образовательных ресурсов, к которым обучающиеся имеют неограниченный доступ:</w:t>
        <w:br/>
        <w:t xml:space="preserve">Официальный сайт Министерства образования и науки Российской Федерации</w:t>
        <w:br/>
        <w:t xml:space="preserve">Электронные учебники</w:t>
        <w:br/>
        <w:t xml:space="preserve">Федеральный центр электрон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ных образовательных ресурсов http://fcior.edu.ru/</w:t>
        <w:br/>
        <w:t xml:space="preserve">Единое окно доступа к образовательным ресурсам http://window.edu.ru/</w:t>
        <w:br/>
        <w:t xml:space="preserve">Единая коллекция цифровых образовательных ресурсов http://school-collection.edu.ru/</w:t>
        <w:br/>
        <w:t xml:space="preserve">Медиатека образовательных ресурсов http://store.temoc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enter.ru/</w:t>
        <w:br/>
        <w:t xml:space="preserve">Федеральный портал «Российское образование» http://www.edu.ru/</w:t>
        <w:br/>
        <w:t xml:space="preserve">Российский общеобразовательный портал http://www.school.edu.ru/</w:t>
        <w:br/>
        <w:t xml:space="preserve">Портал информационной поддержки Единого государственного экзамена http://www.ege.edu.ru/</w:t>
        <w:br/>
        <w:t xml:space="preserve">Федеральный портал «Социально-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гуманитарное и политологическое образование» http://www.humanities.edu.ru/</w:t>
        <w:br/>
        <w:t xml:space="preserve">Федеральный портал «Информационно-коммуникационные технологии в образовании» http://www.ict.edu.ru/</w:t>
        <w:br/>
        <w:t xml:space="preserve">Российский портал открытого образования http://www.openet.edu.ru/</w:t>
        <w:br/>
        <w:t xml:space="preserve">Федеральный пор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тал «Непрерывная подготовка преподавателей» http://www.neo.edu.ru/wps/portal/</w:t>
        <w:br/>
        <w:t xml:space="preserve">Список Интернет-ресурсов по подготовке к ЕГЭ URL: http://www.fipi.ru/</w:t>
        <w:br/>
        <w:t xml:space="preserve">Владелец сайта: Официальный сайт Федерального института педагогических измерений</w:t>
        <w:br/>
        <w:t xml:space="preserve">Цель создания сайта: информ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ругих мероприятиях в области образования с использованием измерительных технологий.</w:t>
        <w:br/>
        <w:t xml:space="preserve">URL: http://ege.edu.ru/, Портал информационной поддержки единого государственного экзамена.</w:t>
        <w:br/>
        <w:t xml:space="preserve">Владелец сайта: Федеральная служба по надзору в сфере образования и науки.</w:t>
        <w:br/>
        <w:t xml:space="preserve">Цель 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создания сайта: информационное сопровождение ЕГЭ.</w:t>
        <w:br/>
        <w:t xml:space="preserve">URL: http:/edu.ru/, Федеральный портал «Российское образование».</w:t>
        <w:br/>
        <w:t xml:space="preserve">Владелец сайта: ФГУ «Государственный научно-исследовательский институт информационных технологий и телекоммуникаций» (ФГУ ГНИИ ИТТ «Информика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»)</w:t>
        <w:br/>
        <w:t xml:space="preserve"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  <w:br/>
        <w:t xml:space="preserve">URL: http://www.school.edu.ru, Российский общеобразова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тельный портал.</w:t>
        <w:br/>
        <w:t xml:space="preserve">Владелец сайта: Издательство «Просвещение».</w:t>
        <w:br/>
        <w:t xml:space="preserve">Цель создания сайта: организация единого образовательного информационного пространства.</w:t>
        <w:br/>
        <w:t xml:space="preserve">URL: http://www.egeinfo.ru/, Все о ЕГЭ.</w:t>
        <w:br/>
        <w:t xml:space="preserve">Владелец сайта: Институт современных образовательных программ.</w:t>
        <w:br/>
        <w:t xml:space="preserve">Цель 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создания сайта: подготовка к ЕГЭ, обзор возможностей получения дальнейшего образования в России и за рубежом.</w:t>
        <w:br/>
        <w:t xml:space="preserve">URL: http://www.gosekzamen.ru/, Российский образовательный портал Госэкзамен.ру.</w:t>
        <w:br/>
        <w:t xml:space="preserve">Владелец сайта: Госэкзамен.Ру. Создание, поддержка и продвижение 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Московский центр интернет маркетинга.</w:t>
        <w:br/>
        <w:t xml:space="preserve">Целевая аудитория: учащиеся, студенты, абитуриенты, преподаватели, родители.</w:t>
        <w:br/>
        <w:t xml:space="preserve">URL: http://www.gotovkege.ru/, Готов к ЕГЭ.</w:t>
        <w:br/>
        <w:t xml:space="preserve">Владелец сайта: Центра Интенсивных Технологий Образования.</w:t>
        <w:br/>
        <w:t xml:space="preserve">Цель создания сайта: получение максима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льного результата по ЕГЭ.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11. 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Во время проведения занятий в школе, где обучаются дети-инвалиды и обучающиеся с ОВЗ,  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  <w:br/>
        <w:t xml:space="preserve">Для разъяснени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(законных представителей) имеется сайт школы, электронный журнал.</w:t>
        <w:br/>
        <w:t xml:space="preserve">Форма проведения текущей и итоговой 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аттестации для детей-инвалидов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 проводится подбор и разработка учебных материалов в печатных и электрон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ных формах, адаптированных к ограничениям их здоровья.</w:t>
        <w:br/>
        <w:t xml:space="preserve"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  <w:br/>
        <w:t xml:space="preserve">- мультимедийные комплексы (п</w:t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роектор и экран),</w:t>
        <w:br/>
        <w:t xml:space="preserve">- интерактивные доски,</w:t>
        <w:br/>
        <w:t xml:space="preserve">- ноутбуки ученические,</w:t>
        <w:br/>
        <w:t xml:space="preserve">- МФУ.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12. Наличие условий для беспрепятственного доступа в общежитие, интернат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Общежития, интерната нет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spacing w:after="210" w:before="9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73350"/>
          <w:sz w:val="28"/>
        </w:rPr>
        <w:t xml:space="preserve">13. Количество жилых помещений в общежитии, интернате, приспособленных для использования инвалидами и лицами с ОВЗ</w:t>
        <w:br/>
      </w:r>
      <w:r>
        <w:rPr>
          <w:rFonts w:ascii="Times New Roman" w:hAnsi="Times New Roman" w:cs="Times New Roman" w:eastAsia="Times New Roman"/>
          <w:color w:val="273350"/>
          <w:sz w:val="28"/>
        </w:rPr>
        <w:t xml:space="preserve">Общежития, интерната нет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540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Batang">
    <w:panose1 w:val="02010600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7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29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01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3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45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17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9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61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7">
    <w:name w:val="Обычный"/>
    <w:next w:val="597"/>
    <w:link w:val="597"/>
    <w:rPr>
      <w:sz w:val="24"/>
      <w:szCs w:val="24"/>
      <w:lang w:val="ru-RU" w:bidi="ar-SA" w:eastAsia="ru-RU"/>
    </w:rPr>
  </w:style>
  <w:style w:type="paragraph" w:styleId="598">
    <w:name w:val="Заголовок 2"/>
    <w:basedOn w:val="597"/>
    <w:next w:val="597"/>
    <w:link w:val="597"/>
    <w:rPr>
      <w:rFonts w:eastAsia="Batang"/>
      <w:b/>
      <w:bCs/>
      <w:sz w:val="28"/>
      <w:szCs w:val="20"/>
      <w:lang w:eastAsia="ko-KR"/>
    </w:rPr>
    <w:pPr>
      <w:jc w:val="center"/>
      <w:keepNext/>
      <w:widowControl w:val="off"/>
      <w:outlineLvl w:val="1"/>
    </w:pPr>
  </w:style>
  <w:style w:type="character" w:styleId="599">
    <w:name w:val="Основной шрифт абзаца"/>
    <w:next w:val="599"/>
    <w:link w:val="597"/>
    <w:semiHidden/>
  </w:style>
  <w:style w:type="table" w:styleId="600">
    <w:name w:val="Обычная таблица"/>
    <w:next w:val="600"/>
    <w:link w:val="597"/>
    <w:semiHidden/>
    <w:tblPr/>
  </w:style>
  <w:style w:type="numbering" w:styleId="601">
    <w:name w:val="Нет списка"/>
    <w:next w:val="601"/>
    <w:link w:val="597"/>
    <w:semiHidden/>
  </w:style>
  <w:style w:type="paragraph" w:styleId="602">
    <w:name w:val="Основной текст"/>
    <w:basedOn w:val="597"/>
    <w:next w:val="602"/>
    <w:link w:val="597"/>
    <w:pPr>
      <w:jc w:val="both"/>
    </w:pPr>
  </w:style>
  <w:style w:type="paragraph" w:styleId="603">
    <w:name w:val="Основной текст с отступом 3"/>
    <w:basedOn w:val="597"/>
    <w:next w:val="603"/>
    <w:link w:val="597"/>
    <w:rPr>
      <w:rFonts w:ascii="Arial" w:hAnsi="Arial"/>
      <w:sz w:val="16"/>
      <w:szCs w:val="16"/>
    </w:rPr>
    <w:pPr>
      <w:ind w:left="283" w:firstLine="720"/>
      <w:jc w:val="both"/>
      <w:spacing w:after="120"/>
      <w:widowControl w:val="off"/>
    </w:pPr>
  </w:style>
  <w:style w:type="character" w:styleId="3243" w:default="1">
    <w:name w:val="Default Paragraph Font"/>
    <w:uiPriority w:val="1"/>
    <w:semiHidden/>
    <w:unhideWhenUsed/>
  </w:style>
  <w:style w:type="numbering" w:styleId="3244" w:default="1">
    <w:name w:val="No List"/>
    <w:uiPriority w:val="99"/>
    <w:semiHidden/>
    <w:unhideWhenUsed/>
  </w:style>
  <w:style w:type="paragraph" w:styleId="3245" w:default="1">
    <w:name w:val="Normal"/>
    <w:qFormat/>
  </w:style>
  <w:style w:type="table" w:styleId="32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2023-01-23T07:21:25Z</dcterms:modified>
</cp:coreProperties>
</file>